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844" w:firstLineChars="200"/>
        <w:jc w:val="center"/>
        <w:textAlignment w:val="auto"/>
        <w:rPr>
          <w:rFonts w:hint="eastAsia" w:ascii="华文中宋" w:hAnsi="华文中宋" w:eastAsia="华文中宋" w:cs="华文中宋"/>
          <w:spacing w:val="24"/>
          <w:w w:val="85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pacing w:val="24"/>
          <w:w w:val="85"/>
          <w:sz w:val="44"/>
          <w:szCs w:val="44"/>
        </w:rPr>
        <w:t>污染场地调查及风险评估</w:t>
      </w:r>
      <w:r>
        <w:rPr>
          <w:rFonts w:hint="eastAsia" w:ascii="华文中宋" w:hAnsi="华文中宋" w:eastAsia="华文中宋" w:cs="华文中宋"/>
          <w:spacing w:val="24"/>
          <w:w w:val="85"/>
          <w:sz w:val="44"/>
          <w:szCs w:val="44"/>
          <w:lang w:val="en-US" w:eastAsia="zh-CN"/>
        </w:rPr>
        <w:t>工具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48" w:firstLineChars="200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w w:val="85"/>
          <w:position w:val="2"/>
          <w:sz w:val="44"/>
          <w:szCs w:val="44"/>
        </w:rPr>
        <w:t>Surfer</w:t>
      </w:r>
      <w:r>
        <w:rPr>
          <w:rFonts w:hint="eastAsia" w:ascii="华文中宋" w:hAnsi="华文中宋" w:eastAsia="华文中宋" w:cs="华文中宋"/>
          <w:spacing w:val="16"/>
          <w:w w:val="85"/>
          <w:sz w:val="44"/>
          <w:szCs w:val="44"/>
        </w:rPr>
        <w:t>软件和</w:t>
      </w:r>
      <w:r>
        <w:rPr>
          <w:rFonts w:hint="eastAsia" w:ascii="华文中宋" w:hAnsi="华文中宋" w:eastAsia="华文中宋" w:cs="华文中宋"/>
          <w:w w:val="85"/>
          <w:position w:val="2"/>
          <w:sz w:val="44"/>
          <w:szCs w:val="44"/>
        </w:rPr>
        <w:t>AutoCAD</w:t>
      </w:r>
      <w:r>
        <w:rPr>
          <w:rFonts w:hint="eastAsia" w:ascii="华文中宋" w:hAnsi="华文中宋" w:eastAsia="华文中宋" w:cs="华文中宋"/>
          <w:spacing w:val="24"/>
          <w:w w:val="85"/>
          <w:sz w:val="44"/>
          <w:szCs w:val="44"/>
        </w:rPr>
        <w:t>应用</w:t>
      </w:r>
      <w:r>
        <w:rPr>
          <w:rFonts w:hint="eastAsia" w:ascii="华文中宋" w:hAnsi="华文中宋" w:eastAsia="华文中宋" w:cs="华文中宋"/>
          <w:spacing w:val="24"/>
          <w:w w:val="85"/>
          <w:sz w:val="44"/>
          <w:szCs w:val="44"/>
          <w:lang w:val="en-US" w:eastAsia="zh-CN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10" w:h="16840"/>
          <w:pgMar w:top="1480" w:right="1020" w:bottom="1560" w:left="1120" w:header="1194" w:footer="1366" w:gutter="0"/>
          <w:cols w:space="425" w:num="1"/>
        </w:sectPr>
      </w:pPr>
    </w:p>
    <w:p>
      <w:pPr>
        <w:pStyle w:val="2"/>
        <w:keepNext w:val="0"/>
        <w:keepLines w:val="0"/>
        <w:pageBreakBefore w:val="0"/>
        <w:widowControl w:val="0"/>
        <w:tabs>
          <w:tab w:val="left" w:pos="4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06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w w:val="90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材料与方法</w:t>
      </w:r>
    </w:p>
    <w:p>
      <w:pPr>
        <w:pStyle w:val="2"/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研究场地概</w:t>
      </w:r>
      <w:r>
        <w:rPr>
          <w:rFonts w:hint="default" w:ascii="Times New Roman" w:hAnsi="Times New Roman" w:cs="Times New Roman" w:eastAsiaTheme="minorEastAsia"/>
          <w:b/>
          <w:bCs/>
          <w:w w:val="102"/>
          <w:sz w:val="28"/>
          <w:szCs w:val="28"/>
        </w:rPr>
        <w:t>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研究场地是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某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搬迁化工厂地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块</w:t>
      </w:r>
      <w:r>
        <w:rPr>
          <w:rFonts w:hint="default" w:ascii="Times New Roman" w:hAnsi="Times New Roman" w:cs="Times New Roman" w:eastAsiaTheme="minorEastAsia"/>
          <w:spacing w:val="-94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面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积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12h</w:t>
      </w:r>
      <w:r>
        <w:rPr>
          <w:rFonts w:hint="default" w:ascii="Times New Roman" w:hAnsi="Times New Roman" w:cs="Times New Roman" w:eastAsiaTheme="minorEastAsia"/>
          <w:spacing w:val="3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w w:val="88"/>
          <w:position w:val="1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"/>
          <w:w w:val="102"/>
          <w:sz w:val="28"/>
          <w:szCs w:val="28"/>
        </w:rPr>
        <w:t>以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苯为主要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原料生产有机化工中间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体</w:t>
      </w:r>
      <w:r>
        <w:rPr>
          <w:rFonts w:hint="default" w:ascii="Times New Roman" w:hAnsi="Times New Roman" w:cs="Times New Roman" w:eastAsiaTheme="minorEastAsia"/>
          <w:spacing w:val="9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办公区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在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西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侧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生产区在东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侧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一至三车间分别生产苯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酚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氯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苯和硝基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苯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储罐区在东北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角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该地块在未来将作</w:t>
      </w:r>
      <w:r>
        <w:rPr>
          <w:rFonts w:hint="default" w:ascii="Times New Roman" w:hAnsi="Times New Roman" w:cs="Times New Roman" w:eastAsiaTheme="minorEastAsia"/>
          <w:spacing w:val="1"/>
          <w:w w:val="102"/>
          <w:sz w:val="28"/>
          <w:szCs w:val="28"/>
        </w:rPr>
        <w:t>为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居住用地再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开发利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用</w:t>
      </w:r>
      <w:r>
        <w:rPr>
          <w:rFonts w:hint="default" w:ascii="Times New Roman" w:hAnsi="Times New Roman" w:cs="Times New Roman" w:eastAsiaTheme="minorEastAsia"/>
          <w:spacing w:val="-92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地层结构分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为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层</w:t>
      </w:r>
      <w:r>
        <w:rPr>
          <w:rFonts w:hint="default" w:ascii="Times New Roman" w:hAnsi="Times New Roman" w:cs="Times New Roman" w:eastAsiaTheme="minorEastAsia"/>
          <w:spacing w:val="-92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自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上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而下依次为杂填土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层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粉质黏土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层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粉砂夹粉土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层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地下水埋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深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w w:val="56"/>
          <w:position w:val="1"/>
          <w:sz w:val="28"/>
          <w:szCs w:val="28"/>
        </w:rPr>
        <w:t>～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8</w:t>
      </w:r>
      <w:r>
        <w:rPr>
          <w:rFonts w:hint="default" w:ascii="Times New Roman" w:hAnsi="Times New Roman" w:cs="Times New Roman" w:eastAsiaTheme="minorEastAsia"/>
          <w:spacing w:val="5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spacing w:val="-90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3"/>
          <w:w w:val="102"/>
          <w:sz w:val="28"/>
          <w:szCs w:val="28"/>
        </w:rPr>
        <w:t>整体流向由西南往东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北方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向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水力梯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度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‰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土壤初步调查方案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72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sz w:val="28"/>
          <w:szCs w:val="28"/>
        </w:rPr>
        <w:t>采用网格布点结合专业判断</w:t>
      </w:r>
      <w:r>
        <w:rPr>
          <w:rFonts w:hint="default" w:ascii="Times New Roman" w:hAnsi="Times New Roman" w:cs="Times New Roman" w:eastAsiaTheme="minorEastAsia"/>
          <w:spacing w:val="3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sz w:val="28"/>
          <w:szCs w:val="28"/>
        </w:rPr>
        <w:t>将厂区按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50m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36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w w:val="96"/>
          <w:position w:val="1"/>
          <w:sz w:val="28"/>
          <w:szCs w:val="28"/>
        </w:rPr>
        <w:t>×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50</w:t>
      </w:r>
      <w:r>
        <w:rPr>
          <w:rFonts w:hint="default" w:ascii="Times New Roman" w:hAnsi="Times New Roman" w:cs="Times New Roman" w:eastAsiaTheme="minorEastAsia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划分单元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格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每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格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布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设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个土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壤采样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点</w:t>
      </w:r>
      <w:r>
        <w:rPr>
          <w:rFonts w:hint="default" w:ascii="Times New Roman" w:hAnsi="Times New Roman" w:cs="Times New Roman" w:eastAsiaTheme="minorEastAsia"/>
          <w:spacing w:val="-96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重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点关注生产车间和装置区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域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共布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设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32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个采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样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点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"/>
          <w:w w:val="102"/>
          <w:sz w:val="28"/>
          <w:szCs w:val="28"/>
        </w:rPr>
        <w:t>见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土壤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分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层采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样</w:t>
      </w:r>
      <w:r>
        <w:rPr>
          <w:rFonts w:hint="default" w:ascii="Times New Roman" w:hAnsi="Times New Roman" w:cs="Times New Roman" w:eastAsiaTheme="minorEastAsia"/>
          <w:spacing w:val="-96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表层和下层土采样深度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分别为地面以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下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0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和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spacing w:val="5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spacing w:val="-90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13"/>
          <w:w w:val="102"/>
          <w:sz w:val="28"/>
          <w:szCs w:val="28"/>
        </w:rPr>
        <w:t>共采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集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64</w:t>
      </w:r>
      <w:r>
        <w:rPr>
          <w:rFonts w:hint="default" w:ascii="Times New Roman" w:hAnsi="Times New Roman" w:cs="Times New Roman" w:eastAsiaTheme="minorEastAsia"/>
          <w:spacing w:val="13"/>
          <w:w w:val="102"/>
          <w:sz w:val="28"/>
          <w:szCs w:val="28"/>
        </w:rPr>
        <w:t>个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土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壤样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品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采用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全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站仪对各采样点位置的地理坐标</w:t>
      </w:r>
      <w:r>
        <w:rPr>
          <w:rFonts w:hint="default" w:ascii="Times New Roman" w:hAnsi="Times New Roman" w:cs="Times New Roman" w:eastAsiaTheme="minorEastAsia"/>
          <w:spacing w:val="1"/>
          <w:w w:val="102"/>
          <w:sz w:val="28"/>
          <w:szCs w:val="28"/>
        </w:rPr>
        <w:t>及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高程进行精确测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量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中实线为厂区边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界</w:t>
      </w:r>
      <w:r>
        <w:rPr>
          <w:rFonts w:hint="default" w:ascii="Times New Roman" w:hAnsi="Times New Roman" w:cs="Times New Roman" w:eastAsiaTheme="minorEastAsia"/>
          <w:spacing w:val="-98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底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图为厂区平面布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局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5"/>
          <w:sz w:val="28"/>
          <w:szCs w:val="28"/>
        </w:rPr>
        <w:drawing>
          <wp:inline distT="0" distB="0" distL="0" distR="0">
            <wp:extent cx="2811145" cy="145351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246" cy="145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研究场地土壤采样点分布</w:t>
      </w:r>
    </w:p>
    <w:p>
      <w:pPr>
        <w:pStyle w:val="2"/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土壤样品分析方法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土壤中挥</w:t>
      </w:r>
      <w:r>
        <w:rPr>
          <w:rFonts w:hint="default" w:ascii="Times New Roman" w:hAnsi="Times New Roman" w:cs="Times New Roman" w:eastAsiaTheme="minorEastAsia"/>
          <w:spacing w:val="34"/>
          <w:sz w:val="28"/>
          <w:szCs w:val="28"/>
        </w:rPr>
        <w:t>发性有机物分析方法为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USEPA8260C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采用吹扫捕集气相色谱质谱联用仪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Agilent6890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检测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;</w:t>
      </w:r>
      <w:r>
        <w:rPr>
          <w:rFonts w:hint="default" w:ascii="Times New Roman" w:hAnsi="Times New Roman" w:cs="Times New Roman" w:eastAsiaTheme="minorEastAsia"/>
          <w:spacing w:val="20"/>
          <w:sz w:val="28"/>
          <w:szCs w:val="28"/>
        </w:rPr>
        <w:t>半挥发性有机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物分析方法为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USEPA</w:t>
      </w:r>
      <w:r>
        <w:rPr>
          <w:rFonts w:hint="default" w:ascii="Times New Roman" w:hAnsi="Times New Roman" w:cs="Times New Roman" w:eastAsiaTheme="minorEastAsia"/>
          <w:spacing w:val="-4"/>
          <w:position w:val="1"/>
          <w:sz w:val="28"/>
          <w:szCs w:val="28"/>
        </w:rPr>
        <w:t>8270D</w:t>
      </w:r>
      <w:r>
        <w:rPr>
          <w:rFonts w:hint="default" w:ascii="Times New Roman" w:hAnsi="Times New Roman" w:cs="Times New Roman" w:eastAsiaTheme="minorEastAsia"/>
          <w:spacing w:val="-4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4"/>
          <w:sz w:val="28"/>
          <w:szCs w:val="28"/>
        </w:rPr>
        <w:t>采用气相色谱质谱联用仪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Agilent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6890N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检测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;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含水率分析方法为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USEPASW</w:t>
      </w:r>
      <w:r>
        <w:rPr>
          <w:rFonts w:hint="default" w:ascii="Times New Roman" w:hAnsi="Times New Roman" w:cs="Times New Roman" w:eastAsiaTheme="minorEastAsia"/>
          <w:w w:val="95"/>
          <w:position w:val="1"/>
          <w:sz w:val="28"/>
          <w:szCs w:val="28"/>
        </w:rPr>
        <w:t>－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846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;</w:t>
      </w:r>
      <w:r>
        <w:rPr>
          <w:rFonts w:hint="default" w:ascii="Times New Roman" w:hAnsi="Times New Roman" w:cs="Times New Roman" w:eastAsiaTheme="minorEastAsia"/>
          <w:spacing w:val="4"/>
          <w:sz w:val="28"/>
          <w:szCs w:val="28"/>
        </w:rPr>
        <w:t>有机质测</w:t>
      </w:r>
      <w:r>
        <w:rPr>
          <w:rFonts w:hint="default" w:ascii="Times New Roman" w:hAnsi="Times New Roman" w:cs="Times New Roman" w:eastAsiaTheme="minorEastAsia"/>
          <w:spacing w:val="2"/>
          <w:sz w:val="28"/>
          <w:szCs w:val="28"/>
        </w:rPr>
        <w:t>定采用重铬酸钾法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2" w:firstLineChars="200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4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06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w w:val="90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土壤调查结果</w:t>
      </w:r>
    </w:p>
    <w:p>
      <w:pPr>
        <w:pStyle w:val="2"/>
        <w:keepNext w:val="0"/>
        <w:keepLines w:val="0"/>
        <w:pageBreakBefore w:val="0"/>
        <w:widowControl w:val="0"/>
        <w:tabs>
          <w:tab w:val="left" w:pos="6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确定关注污染物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92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8"/>
          <w:sz w:val="28"/>
          <w:szCs w:val="28"/>
        </w:rPr>
        <w:t>将土壤污染物的检测值与</w:t>
      </w:r>
      <w:r>
        <w:rPr>
          <w:rFonts w:hint="default" w:ascii="Times New Roman" w:hAnsi="Times New Roman" w:cs="Times New Roman" w:eastAsiaTheme="minorEastAsia"/>
          <w:spacing w:val="8"/>
          <w:position w:val="1"/>
          <w:sz w:val="28"/>
          <w:szCs w:val="28"/>
        </w:rPr>
        <w:t>《</w:t>
      </w:r>
      <w:r>
        <w:rPr>
          <w:rFonts w:hint="default" w:ascii="Times New Roman" w:hAnsi="Times New Roman" w:cs="Times New Roman" w:eastAsiaTheme="minorEastAsia"/>
          <w:spacing w:val="8"/>
          <w:sz w:val="28"/>
          <w:szCs w:val="28"/>
        </w:rPr>
        <w:t>场地土壤环境风</w:t>
      </w:r>
      <w:r>
        <w:rPr>
          <w:rFonts w:hint="default" w:ascii="Times New Roman" w:hAnsi="Times New Roman" w:cs="Times New Roman" w:eastAsiaTheme="minorEastAsia"/>
          <w:spacing w:val="-9"/>
          <w:sz w:val="28"/>
          <w:szCs w:val="28"/>
        </w:rPr>
        <w:t>险评价筛选值</w:t>
      </w:r>
      <w:r>
        <w:rPr>
          <w:rFonts w:hint="default" w:ascii="Times New Roman" w:hAnsi="Times New Roman" w:cs="Times New Roman" w:eastAsiaTheme="minorEastAsia"/>
          <w:spacing w:val="-9"/>
          <w:position w:val="1"/>
          <w:sz w:val="28"/>
          <w:szCs w:val="28"/>
        </w:rPr>
        <w:t>》</w:t>
      </w:r>
      <w:r>
        <w:rPr>
          <w:rFonts w:hint="default" w:ascii="Times New Roman" w:hAnsi="Times New Roman" w:cs="Times New Roman" w:eastAsiaTheme="minorEastAsia"/>
          <w:spacing w:val="-9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DB11/T811</w:t>
      </w:r>
      <w:r>
        <w:rPr>
          <w:rFonts w:hint="default" w:ascii="Times New Roman" w:hAnsi="Times New Roman" w:cs="Times New Roman" w:eastAsiaTheme="minorEastAsia"/>
          <w:w w:val="95"/>
          <w:position w:val="1"/>
          <w:sz w:val="28"/>
          <w:szCs w:val="28"/>
        </w:rPr>
        <w:t>－</w:t>
      </w:r>
      <w:r>
        <w:rPr>
          <w:rFonts w:hint="default" w:ascii="Times New Roman" w:hAnsi="Times New Roman" w:cs="Times New Roman" w:eastAsiaTheme="minorEastAsia"/>
          <w:spacing w:val="3"/>
          <w:position w:val="1"/>
          <w:sz w:val="28"/>
          <w:szCs w:val="28"/>
        </w:rPr>
        <w:t>2011</w:t>
      </w:r>
      <w:r>
        <w:rPr>
          <w:rFonts w:hint="default" w:ascii="Times New Roman" w:hAnsi="Times New Roman" w:cs="Times New Roman" w:eastAsiaTheme="minorEastAsia"/>
          <w:spacing w:val="3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-13"/>
          <w:sz w:val="28"/>
          <w:szCs w:val="28"/>
        </w:rPr>
        <w:t>表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4"/>
          <w:sz w:val="28"/>
          <w:szCs w:val="28"/>
        </w:rPr>
        <w:t>中住</w:t>
      </w:r>
      <w:r>
        <w:rPr>
          <w:rFonts w:hint="default" w:ascii="Times New Roman" w:hAnsi="Times New Roman" w:cs="Times New Roman" w:eastAsiaTheme="minorEastAsia"/>
          <w:spacing w:val="-2"/>
          <w:sz w:val="28"/>
          <w:szCs w:val="28"/>
        </w:rPr>
        <w:t>宅用地筛选值比较</w:t>
      </w:r>
      <w:r>
        <w:rPr>
          <w:rFonts w:hint="default" w:ascii="Times New Roman" w:hAnsi="Times New Roman" w:cs="Times New Roman" w:eastAsiaTheme="minorEastAsia"/>
          <w:spacing w:val="-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2"/>
          <w:sz w:val="28"/>
          <w:szCs w:val="28"/>
        </w:rPr>
        <w:t>苯</w:t>
      </w:r>
      <w:r>
        <w:rPr>
          <w:rFonts w:hint="default" w:ascii="Times New Roman" w:hAnsi="Times New Roman" w:cs="Times New Roman" w:eastAsiaTheme="minorEastAsia"/>
          <w:spacing w:val="-2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-2"/>
          <w:sz w:val="28"/>
          <w:szCs w:val="28"/>
        </w:rPr>
        <w:t>硝基苯的检测值大于筛选</w:t>
      </w:r>
      <w:r>
        <w:rPr>
          <w:rFonts w:hint="default" w:ascii="Times New Roman" w:hAnsi="Times New Roman" w:cs="Times New Roman" w:eastAsiaTheme="minorEastAsia"/>
          <w:spacing w:val="-8"/>
          <w:w w:val="105"/>
          <w:sz w:val="28"/>
          <w:szCs w:val="28"/>
        </w:rPr>
        <w:t>值</w:t>
      </w:r>
      <w:r>
        <w:rPr>
          <w:rFonts w:hint="default" w:ascii="Times New Roman" w:hAnsi="Times New Roman" w:cs="Times New Roman" w:eastAsiaTheme="minorEastAsia"/>
          <w:spacing w:val="-8"/>
          <w:w w:val="105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8"/>
          <w:w w:val="105"/>
          <w:sz w:val="28"/>
          <w:szCs w:val="28"/>
        </w:rPr>
        <w:t>确定为关注污染物</w:t>
      </w:r>
      <w:r>
        <w:rPr>
          <w:rFonts w:hint="default" w:ascii="Times New Roman" w:hAnsi="Times New Roman" w:cs="Times New Roman" w:eastAsiaTheme="minorEastAsia"/>
          <w:spacing w:val="-8"/>
          <w:w w:val="105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绘制等值线</w:t>
      </w:r>
      <w:r>
        <w:rPr>
          <w:rFonts w:hint="default" w:ascii="Times New Roman" w:hAnsi="Times New Roman" w:cs="Times New Roman" w:eastAsiaTheme="minorEastAsia"/>
          <w:b/>
          <w:bCs/>
          <w:w w:val="102"/>
          <w:sz w:val="28"/>
          <w:szCs w:val="28"/>
        </w:rPr>
        <w:t>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4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-5"/>
          <w:sz w:val="28"/>
          <w:szCs w:val="28"/>
        </w:rPr>
        <w:t>以表层土壤中苯为例</w:t>
      </w:r>
      <w:r>
        <w:rPr>
          <w:rFonts w:hint="default" w:ascii="Times New Roman" w:hAnsi="Times New Roman" w:cs="Times New Roman" w:eastAsiaTheme="minorEastAsia"/>
          <w:spacing w:val="-5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5"/>
          <w:position w:val="1"/>
          <w:sz w:val="28"/>
          <w:szCs w:val="28"/>
        </w:rPr>
        <w:t>Surfer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和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AutoCAD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软件</w:t>
      </w:r>
      <w:r>
        <w:rPr>
          <w:rFonts w:hint="default" w:ascii="Times New Roman" w:hAnsi="Times New Roman" w:cs="Times New Roman" w:eastAsiaTheme="minorEastAsia"/>
          <w:spacing w:val="2"/>
          <w:sz w:val="28"/>
          <w:szCs w:val="28"/>
        </w:rPr>
        <w:t>联用生成污染物浓度等值线图的操作步骤如下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: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(1)AutoCAD绘制调查场地背景底图。将化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工厂平面布局图作为背景底图文件(例如化工厂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平面图．dwg)，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厂区边界线、土壤采样点位置图、化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工厂平面布局图等设置为不同图层。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(2)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数据整理及建立离散点数据库。某个土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壤采样点的地理坐标设为(x，y)，该点某一种污染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物检测值设为z，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分别输入相应数据，在Excel中建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立场地土壤污染物浓度数据工作表(例如表层土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壤苯．xls)。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遇到浓度未检出时以检测限值代替。(3)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生成网格文件。将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表层土壤苯浓度．xls”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中数据复制到txt文本文件中，建立原始数据文件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表层土壤苯浓度．txt”。运行Surfer软件，打开菜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单栏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网格”，下拉菜单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数据”，在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打开”对话框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中选择数据文件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苯．txt”，在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网格化方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法”中选择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克里格插值法”对数据进行网格化。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在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导出网格文件”时输出文件名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表层土壤苯．grd”，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然后在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网格线索几何学”中设置适宜的网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格点数(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例如X方向行数100，Y方向51)，即可生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成等值线图所需要的网格文件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表层土壤苯．grd”。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(4)Surfer生成等值线图。打开菜单栏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地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图”，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点击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等值线图”，选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新建等值线图”，在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打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开网格”对话框中选择前一步输出的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苯．grd”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文件，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设置适宜的等值线间隔，将污染物检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测限值设为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等值线最低等级”，保存为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苯．srf”，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完成表层土壤中苯浓度等值线图绘制。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(5)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修改完善等值线图和输出。在等值线之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间设置、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充填颜色，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用同色系的深色表示高浓度，也可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移动等值线图标注等进行修饰和调整。打开菜单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文件”，选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导出”，将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表层土壤苯．srf”文件格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式保存成能够被AutoCAD软件打开的图形文件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表层土壤苯．dxf”。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(6)与AutoCAD结合出图。运行AutoCAD软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件，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打开底图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化工厂平面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图．dwg”，建立名为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层土壤苯等值线图”的新图层。再打开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苯．dxf”，把该图复制到底图中，利用AutoCAD的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图形编辑功能，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通过线型处理，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使用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移动”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旋转”或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对齐”等命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令，将2幅图合成1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幅。采用Auto-CAD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修改等值线标注数字的字体大小和颜色以及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  <w:sectPr>
          <w:type w:val="continuous"/>
          <w:pgSz w:w="11910" w:h="16840"/>
          <w:pgMar w:top="1480" w:right="1020" w:bottom="1560" w:left="1120" w:header="720" w:footer="720" w:gutter="0"/>
          <w:cols w:space="425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sectPr>
          <w:headerReference r:id="rId6" w:type="default"/>
          <w:headerReference r:id="rId7" w:type="even"/>
          <w:pgSz w:w="11910" w:h="16840"/>
          <w:pgMar w:top="1480" w:right="1020" w:bottom="1560" w:left="1020" w:header="1194" w:footer="1366" w:gutter="0"/>
          <w:cols w:space="425" w:num="1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移动位置等，使得浓度高低及其分布规律呈现得更鲜明、直观。今为了使图片效果清晰，隐去了底图中化工厂车间和装置、采样点位置等大量图层，仅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保留厂区边界线图层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6"/>
          <w:sz w:val="28"/>
          <w:szCs w:val="28"/>
        </w:rPr>
        <w:t>红实线</w:t>
      </w:r>
      <w:r>
        <w:rPr>
          <w:rFonts w:hint="default" w:ascii="Times New Roman" w:hAnsi="Times New Roman" w:cs="Times New Roman" w:eastAsiaTheme="minorEastAsia"/>
          <w:spacing w:val="6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6"/>
          <w:sz w:val="28"/>
          <w:szCs w:val="28"/>
        </w:rPr>
        <w:t>作为底图示意</w:t>
      </w:r>
      <w:r>
        <w:rPr>
          <w:rFonts w:hint="default" w:ascii="Times New Roman" w:hAnsi="Times New Roman" w:cs="Times New Roman" w:eastAsiaTheme="minorEastAsia"/>
          <w:spacing w:val="6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6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spacing w:val="-30"/>
          <w:position w:val="1"/>
          <w:sz w:val="28"/>
          <w:szCs w:val="28"/>
        </w:rPr>
        <w:t>2、</w:t>
      </w:r>
      <w:r>
        <w:rPr>
          <w:rFonts w:hint="default" w:ascii="Times New Roman" w:hAnsi="Times New Roman" w:cs="Times New Roman" w:eastAsiaTheme="minorEastAsia"/>
          <w:spacing w:val="-30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spacing w:val="-4"/>
          <w:sz w:val="28"/>
          <w:szCs w:val="28"/>
        </w:rPr>
        <w:t>分别为据此绘制的表层</w:t>
      </w:r>
      <w:r>
        <w:rPr>
          <w:rFonts w:hint="default" w:ascii="Times New Roman" w:hAnsi="Times New Roman" w:cs="Times New Roman" w:eastAsiaTheme="minorEastAsia"/>
          <w:spacing w:val="-4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-4"/>
          <w:sz w:val="28"/>
          <w:szCs w:val="28"/>
        </w:rPr>
        <w:t>下层土壤中苯和硝</w:t>
      </w:r>
      <w:r>
        <w:rPr>
          <w:rFonts w:hint="default" w:ascii="Times New Roman" w:hAnsi="Times New Roman" w:cs="Times New Roman" w:eastAsiaTheme="minorEastAsia"/>
          <w:spacing w:val="2"/>
          <w:sz w:val="28"/>
          <w:szCs w:val="28"/>
        </w:rPr>
        <w:t>基苯浓度等值线图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  <w:sectPr>
          <w:type w:val="continuous"/>
          <w:pgSz w:w="11910" w:h="16840"/>
          <w:pgMar w:top="1480" w:right="1020" w:bottom="1560" w:left="1020" w:header="720" w:footer="720" w:gutter="0"/>
          <w:cols w:space="425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4"/>
          <w:sz w:val="28"/>
          <w:szCs w:val="28"/>
        </w:rPr>
        <w:drawing>
          <wp:inline distT="0" distB="0" distL="0" distR="0">
            <wp:extent cx="6134100" cy="141986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632" cy="142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表层土壤中苯和硝基苯质量比等值线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5"/>
          <w:sz w:val="28"/>
          <w:szCs w:val="28"/>
        </w:rPr>
        <w:drawing>
          <wp:inline distT="0" distB="0" distL="0" distR="0">
            <wp:extent cx="6120765" cy="1462405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937" cy="146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下层土壤中苯和硝基苯质量比等值线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  <w:sectPr>
          <w:type w:val="continuous"/>
          <w:pgSz w:w="11910" w:h="16840"/>
          <w:pgMar w:top="1480" w:right="1020" w:bottom="1560" w:left="1020" w:header="720" w:footer="720" w:gutter="0"/>
          <w:cols w:space="425" w:num="1"/>
        </w:sectPr>
      </w:pPr>
    </w:p>
    <w:p>
      <w:pPr>
        <w:pStyle w:val="2"/>
        <w:keepNext w:val="0"/>
        <w:keepLines w:val="0"/>
        <w:pageBreakBefore w:val="0"/>
        <w:widowControl w:val="0"/>
        <w:tabs>
          <w:tab w:val="left" w:pos="5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06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w w:val="90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土壤污染健康风险评价</w:t>
      </w:r>
    </w:p>
    <w:p>
      <w:pPr>
        <w:keepNext w:val="0"/>
        <w:keepLines w:val="0"/>
        <w:pageBreakBefore w:val="0"/>
        <w:widowControl w:val="0"/>
        <w:tabs>
          <w:tab w:val="left" w:pos="7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暴露概念模</w:t>
      </w:r>
      <w:r>
        <w:rPr>
          <w:rFonts w:hint="default" w:ascii="Times New Roman" w:hAnsi="Times New Roman" w:cs="Times New Roman" w:eastAsiaTheme="minorEastAsia"/>
          <w:b/>
          <w:bCs/>
          <w:spacing w:val="-21"/>
          <w:w w:val="102"/>
          <w:sz w:val="28"/>
          <w:szCs w:val="28"/>
        </w:rPr>
        <w:t>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48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该搬迁化工厂地块拟作为居住用地开发</w:t>
      </w:r>
      <w:r>
        <w:rPr>
          <w:rFonts w:hint="default" w:ascii="Times New Roman" w:hAnsi="Times New Roman" w:cs="Times New Roman" w:eastAsiaTheme="minorEastAsia"/>
          <w:spacing w:val="-3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未来场地使用者中儿童和成人为敏感受体</w:t>
      </w:r>
      <w:r>
        <w:rPr>
          <w:rFonts w:hint="default" w:ascii="Times New Roman" w:hAnsi="Times New Roman" w:cs="Times New Roman" w:eastAsiaTheme="minorEastAsia"/>
          <w:spacing w:val="-3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考虑污染土</w:t>
      </w:r>
      <w:r>
        <w:rPr>
          <w:rFonts w:hint="default" w:ascii="Times New Roman" w:hAnsi="Times New Roman" w:cs="Times New Roman" w:eastAsiaTheme="minorEastAsia"/>
          <w:spacing w:val="7"/>
          <w:sz w:val="28"/>
          <w:szCs w:val="28"/>
        </w:rPr>
        <w:t>壤作为污染源对敏感受体产生的风险和危害</w:t>
      </w:r>
      <w:r>
        <w:rPr>
          <w:rFonts w:hint="default" w:ascii="Times New Roman" w:hAnsi="Times New Roman" w:cs="Times New Roman" w:eastAsiaTheme="minorEastAsia"/>
          <w:spacing w:val="7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7"/>
          <w:sz w:val="28"/>
          <w:szCs w:val="28"/>
        </w:rPr>
        <w:t>受</w:t>
      </w:r>
      <w:r>
        <w:rPr>
          <w:rFonts w:hint="default" w:ascii="Times New Roman" w:hAnsi="Times New Roman" w:cs="Times New Roman" w:eastAsiaTheme="minorEastAsia"/>
          <w:w w:val="105"/>
          <w:sz w:val="28"/>
          <w:szCs w:val="28"/>
        </w:rPr>
        <w:t>体暴露途径包括</w:t>
      </w:r>
      <w:r>
        <w:rPr>
          <w:rFonts w:hint="default" w:ascii="Times New Roman" w:hAnsi="Times New Roman" w:cs="Times New Roman" w:eastAsiaTheme="minorEastAsia"/>
          <w:w w:val="105"/>
          <w:position w:val="1"/>
          <w:sz w:val="28"/>
          <w:szCs w:val="28"/>
        </w:rPr>
        <w:t>: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2"/>
          <w:sz w:val="28"/>
          <w:szCs w:val="28"/>
        </w:rPr>
        <w:t>通过经口摄入表层受污染土壤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皮肤接触表层受污染土壤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13"/>
          <w:sz w:val="28"/>
          <w:szCs w:val="28"/>
        </w:rPr>
        <w:t>呼吸吸入表层受污染土壤扩散到室内外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的颗粒物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4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13"/>
          <w:sz w:val="28"/>
          <w:szCs w:val="28"/>
        </w:rPr>
        <w:t>呼吸吸入表层受污染土壤挥发至室外的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蒸汽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13"/>
          <w:sz w:val="28"/>
          <w:szCs w:val="28"/>
        </w:rPr>
        <w:t>呼吸吸入下层受污染土壤挥发到室内外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的蒸汽等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-9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-9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-9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position w:val="-10"/>
          <w:sz w:val="28"/>
          <w:szCs w:val="28"/>
        </w:rPr>
        <w:t>参数选</w:t>
      </w:r>
      <w:r>
        <w:rPr>
          <w:rFonts w:hint="default" w:ascii="Times New Roman" w:hAnsi="Times New Roman" w:cs="Times New Roman" w:eastAsiaTheme="minorEastAsia"/>
          <w:b/>
          <w:bCs/>
          <w:spacing w:val="-21"/>
          <w:w w:val="102"/>
          <w:position w:val="-10"/>
          <w:sz w:val="28"/>
          <w:szCs w:val="28"/>
        </w:rPr>
        <w:t>择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8" w:firstLineChars="200"/>
        <w:jc w:val="left"/>
        <w:textAlignment w:val="auto"/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2"/>
          <w:sz w:val="28"/>
          <w:szCs w:val="28"/>
        </w:rPr>
        <w:t>计算苯和硝基苯暴露量所需的理化性质参数</w:t>
      </w:r>
      <w:r>
        <w:rPr>
          <w:rFonts w:hint="default" w:ascii="Times New Roman" w:hAnsi="Times New Roman" w:cs="Times New Roman" w:eastAsiaTheme="minorEastAsia"/>
          <w:spacing w:val="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人体暴露参数和毒性参数均取自文献</w:t>
      </w:r>
      <w:r>
        <w:rPr>
          <w:rFonts w:hint="default" w:ascii="Times New Roman" w:hAnsi="Times New Roman" w:cs="Times New Roman" w:eastAsiaTheme="minorEastAsia"/>
          <w:spacing w:val="-16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-16"/>
          <w:sz w:val="28"/>
          <w:szCs w:val="28"/>
        </w:rPr>
        <w:t>场地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特征参数取自实测值及文</w:t>
      </w:r>
      <w:r>
        <w:rPr>
          <w:rFonts w:hint="default" w:ascii="Times New Roman" w:hAnsi="Times New Roman" w:cs="Times New Roman" w:eastAsiaTheme="minorEastAsia"/>
          <w:spacing w:val="-24"/>
          <w:w w:val="102"/>
          <w:sz w:val="28"/>
          <w:szCs w:val="28"/>
        </w:rPr>
        <w:t>献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推荐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值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土壤污染风险计</w:t>
      </w:r>
      <w:r>
        <w:rPr>
          <w:rFonts w:hint="default" w:ascii="Times New Roman" w:hAnsi="Times New Roman" w:cs="Times New Roman" w:eastAsiaTheme="minorEastAsia"/>
          <w:b/>
          <w:bCs/>
          <w:spacing w:val="-21"/>
          <w:w w:val="102"/>
          <w:sz w:val="28"/>
          <w:szCs w:val="28"/>
        </w:rPr>
        <w:t>算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及绘</w:t>
      </w:r>
      <w:r>
        <w:rPr>
          <w:rFonts w:hint="default" w:ascii="Times New Roman" w:hAnsi="Times New Roman" w:cs="Times New Roman" w:eastAsiaTheme="minorEastAsia"/>
          <w:b/>
          <w:bCs/>
          <w:w w:val="102"/>
          <w:sz w:val="28"/>
          <w:szCs w:val="28"/>
        </w:rPr>
        <w:t>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计算表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层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下层土壤中苯和硝基苯在单一暴露途径以及所有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暴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露途径下的致癌风险和非致癌危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害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商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结果表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明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: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表层土壤中苯和硝基苯的致癌风险和非致癌危害均不可接受;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下层土壤中苯的致癌风险不可接受。按照2．2的6个步骤绘制苯和硝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基苯的致癌风险以及非致癌危害商等值线图，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见图4—图6。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等值线最低等级”分别设置为10－6和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1。由图可见，表层土壤中苯和硝</w:t>
      </w:r>
      <w:r>
        <w:rPr>
          <w:rFonts w:hint="default" w:ascii="Times New Roman" w:hAnsi="Times New Roman" w:cs="Times New Roman" w:eastAsiaTheme="minorEastAsia"/>
          <w:spacing w:val="3"/>
          <w:sz w:val="28"/>
          <w:szCs w:val="28"/>
        </w:rPr>
        <w:t>基苯致癌风险最</w:t>
      </w:r>
      <w:r>
        <w:rPr>
          <w:rFonts w:hint="default" w:ascii="Times New Roman" w:hAnsi="Times New Roman" w:cs="Times New Roman" w:eastAsiaTheme="minorEastAsia"/>
          <w:spacing w:val="2"/>
          <w:w w:val="105"/>
          <w:sz w:val="28"/>
          <w:szCs w:val="28"/>
        </w:rPr>
        <w:t>高区域分别在苯储罐区和三车间</w:t>
      </w:r>
      <w:r>
        <w:rPr>
          <w:rFonts w:hint="default" w:ascii="Times New Roman" w:hAnsi="Times New Roman" w:cs="Times New Roman" w:eastAsiaTheme="minorEastAsia"/>
          <w:spacing w:val="2"/>
          <w:w w:val="105"/>
          <w:position w:val="1"/>
          <w:sz w:val="28"/>
          <w:szCs w:val="28"/>
        </w:rPr>
        <w:t>;</w:t>
      </w:r>
      <w:r>
        <w:rPr>
          <w:rFonts w:hint="default" w:ascii="Times New Roman" w:hAnsi="Times New Roman" w:cs="Times New Roman" w:eastAsiaTheme="minorEastAsia"/>
          <w:w w:val="105"/>
          <w:sz w:val="28"/>
          <w:szCs w:val="28"/>
        </w:rPr>
        <w:t>下层土壤中苯致</w:t>
      </w:r>
      <w:r>
        <w:rPr>
          <w:rFonts w:hint="default" w:ascii="Times New Roman" w:hAnsi="Times New Roman" w:cs="Times New Roman" w:eastAsiaTheme="minorEastAsia"/>
          <w:spacing w:val="-5"/>
          <w:w w:val="105"/>
          <w:sz w:val="28"/>
          <w:szCs w:val="28"/>
        </w:rPr>
        <w:t>癌风险最高区域在二</w:t>
      </w:r>
      <w:r>
        <w:rPr>
          <w:rFonts w:hint="default" w:ascii="Times New Roman" w:hAnsi="Times New Roman" w:cs="Times New Roman" w:eastAsiaTheme="minorEastAsia"/>
          <w:spacing w:val="-5"/>
          <w:w w:val="105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-5"/>
          <w:w w:val="105"/>
          <w:sz w:val="28"/>
          <w:szCs w:val="28"/>
        </w:rPr>
        <w:t>三车间中间</w:t>
      </w:r>
      <w:r>
        <w:rPr>
          <w:rFonts w:hint="default" w:ascii="Times New Roman" w:hAnsi="Times New Roman" w:cs="Times New Roman" w:eastAsiaTheme="minorEastAsia"/>
          <w:spacing w:val="-5"/>
          <w:w w:val="105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4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土壤修复目标的计算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92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8"/>
          <w:sz w:val="28"/>
          <w:szCs w:val="28"/>
        </w:rPr>
        <w:t>修复目标是以单个关注污染物的致癌风险可</w:t>
      </w:r>
      <w:r>
        <w:rPr>
          <w:rFonts w:hint="default" w:ascii="Times New Roman" w:hAnsi="Times New Roman" w:cs="Times New Roman" w:eastAsiaTheme="minorEastAsia"/>
          <w:spacing w:val="4"/>
          <w:sz w:val="28"/>
          <w:szCs w:val="28"/>
        </w:rPr>
        <w:t>接受水平</w:t>
      </w:r>
      <w:r>
        <w:rPr>
          <w:rFonts w:hint="default" w:ascii="Times New Roman" w:hAnsi="Times New Roman" w:cs="Times New Roman" w:eastAsiaTheme="minorEastAsia"/>
          <w:spacing w:val="4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取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10</w:t>
      </w:r>
      <w:r>
        <w:rPr>
          <w:rFonts w:hint="default" w:ascii="Times New Roman" w:hAnsi="Times New Roman" w:cs="Times New Roman" w:eastAsiaTheme="minorEastAsia"/>
          <w:w w:val="95"/>
          <w:position w:val="11"/>
          <w:sz w:val="28"/>
          <w:szCs w:val="28"/>
        </w:rPr>
        <w:t>－</w:t>
      </w:r>
      <w:r>
        <w:rPr>
          <w:rFonts w:hint="default" w:ascii="Times New Roman" w:hAnsi="Times New Roman" w:cs="Times New Roman" w:eastAsiaTheme="minorEastAsia"/>
          <w:position w:val="11"/>
          <w:sz w:val="28"/>
          <w:szCs w:val="28"/>
        </w:rPr>
        <w:t>6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3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sz w:val="28"/>
          <w:szCs w:val="28"/>
        </w:rPr>
        <w:t>或者非致癌危害商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(</w:t>
      </w:r>
      <w:r>
        <w:rPr>
          <w:rFonts w:hint="default" w:ascii="Times New Roman" w:hAnsi="Times New Roman" w:cs="Times New Roman" w:eastAsiaTheme="minorEastAsia"/>
          <w:spacing w:val="10"/>
          <w:sz w:val="28"/>
          <w:szCs w:val="28"/>
        </w:rPr>
        <w:t>取值为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5"/>
          <w:position w:val="1"/>
          <w:sz w:val="28"/>
          <w:szCs w:val="28"/>
        </w:rPr>
        <w:t>)</w:t>
      </w:r>
      <w:r>
        <w:rPr>
          <w:rFonts w:hint="default" w:ascii="Times New Roman" w:hAnsi="Times New Roman" w:cs="Times New Roman" w:eastAsiaTheme="minorEastAsia"/>
          <w:spacing w:val="7"/>
          <w:sz w:val="28"/>
          <w:szCs w:val="28"/>
        </w:rPr>
        <w:t>作为基准</w:t>
      </w:r>
      <w:r>
        <w:rPr>
          <w:rFonts w:hint="default" w:ascii="Times New Roman" w:hAnsi="Times New Roman" w:cs="Times New Roman" w:eastAsiaTheme="minorEastAsia"/>
          <w:spacing w:val="7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7"/>
          <w:sz w:val="28"/>
          <w:szCs w:val="28"/>
        </w:rPr>
        <w:t>按照各种暴露途径的暴露量反推得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到土壤污染物的浓度限值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今土壤修复目标值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为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: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层土壤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苯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spacing w:val="-1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/k</w:t>
      </w:r>
      <w:r>
        <w:rPr>
          <w:rFonts w:hint="default" w:ascii="Times New Roman" w:hAnsi="Times New Roman" w:cs="Times New Roman" w:eastAsiaTheme="minorEastAsia"/>
          <w:spacing w:val="5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spacing w:val="-90"/>
          <w:w w:val="102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13"/>
          <w:w w:val="102"/>
          <w:sz w:val="28"/>
          <w:szCs w:val="28"/>
        </w:rPr>
        <w:t>硝基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苯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spacing w:val="-1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/k</w:t>
      </w:r>
      <w:r>
        <w:rPr>
          <w:rFonts w:hint="default" w:ascii="Times New Roman" w:hAnsi="Times New Roman" w:cs="Times New Roman" w:eastAsiaTheme="minorEastAsia"/>
          <w:spacing w:val="5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spacing w:val="-90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下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层土壤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苯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6</w:t>
      </w:r>
      <w:r>
        <w:rPr>
          <w:rFonts w:hint="default" w:ascii="Times New Roman" w:hAnsi="Times New Roman" w:cs="Times New Roman" w:eastAsiaTheme="minorEastAsia"/>
          <w:spacing w:val="-1"/>
          <w:w w:val="89"/>
          <w:position w:val="1"/>
          <w:sz w:val="28"/>
          <w:szCs w:val="28"/>
        </w:rPr>
        <w:t>m</w:t>
      </w:r>
      <w:r>
        <w:rPr>
          <w:rFonts w:hint="default" w:ascii="Times New Roman" w:hAnsi="Times New Roman" w:cs="Times New Roman" w:eastAsiaTheme="minorEastAsia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/k</w:t>
      </w:r>
      <w:r>
        <w:rPr>
          <w:rFonts w:hint="default" w:ascii="Times New Roman" w:hAnsi="Times New Roman" w:cs="Times New Roman" w:eastAsiaTheme="minorEastAsia"/>
          <w:spacing w:val="5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0"/>
          <w:sz w:val="28"/>
          <w:szCs w:val="28"/>
        </w:rPr>
        <w:drawing>
          <wp:inline distT="0" distB="0" distL="0" distR="0">
            <wp:extent cx="6122035" cy="130429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252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4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表层土壤中苯和硝基苯的致癌风险等值线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0"/>
          <w:sz w:val="28"/>
          <w:szCs w:val="28"/>
        </w:rPr>
        <w:drawing>
          <wp:inline distT="0" distB="0" distL="0" distR="0">
            <wp:extent cx="6121400" cy="131000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929" cy="13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表层土壤中苯</w:t>
      </w:r>
      <w:r>
        <w:rPr>
          <w:rFonts w:hint="default" w:ascii="Times New Roman" w:hAnsi="Times New Roman" w:cs="Times New Roman" w:eastAsiaTheme="minorEastAsia"/>
          <w:spacing w:val="-3"/>
          <w:position w:val="1"/>
          <w:sz w:val="28"/>
          <w:szCs w:val="28"/>
        </w:rPr>
        <w:t>、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硝基苯的非致癌危害商等值线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0"/>
          <w:sz w:val="28"/>
          <w:szCs w:val="28"/>
        </w:rPr>
        <w:drawing>
          <wp:inline distT="0" distB="0" distL="0" distR="0">
            <wp:extent cx="2816225" cy="129794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6477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 w:val="0"/>
        <w:tabs>
          <w:tab w:val="left" w:pos="7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76" w:firstLineChars="200"/>
        <w:jc w:val="center"/>
        <w:textAlignment w:val="auto"/>
        <w:rPr>
          <w:rFonts w:hint="default" w:ascii="Times New Roman" w:hAnsi="Times New Roman" w:cs="Times New Roman" w:eastAsiaTheme="minorEastAsia"/>
          <w:spacing w:val="3"/>
          <w:w w:val="103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w w:val="103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w w:val="93"/>
          <w:position w:val="1"/>
          <w:sz w:val="28"/>
          <w:szCs w:val="28"/>
        </w:rPr>
        <w:t>6</w:t>
      </w:r>
      <w:r>
        <w:rPr>
          <w:rFonts w:hint="default" w:ascii="Times New Roman" w:hAnsi="Times New Roman" w:cs="Times New Roman" w:eastAsiaTheme="minorEastAsia"/>
          <w:spacing w:val="3"/>
          <w:w w:val="103"/>
          <w:sz w:val="28"/>
          <w:szCs w:val="28"/>
        </w:rPr>
        <w:t>下层土壤中苯的致癌风险等值线</w:t>
      </w:r>
    </w:p>
    <w:p>
      <w:pPr>
        <w:pStyle w:val="2"/>
        <w:keepNext w:val="0"/>
        <w:keepLines w:val="0"/>
        <w:pageBreakBefore w:val="0"/>
        <w:widowControl w:val="0"/>
        <w:tabs>
          <w:tab w:val="left" w:pos="7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生成污染土壤修复范围图</w:t>
      </w:r>
    </w:p>
    <w:p>
      <w:pPr>
        <w:pStyle w:val="2"/>
        <w:keepNext w:val="0"/>
        <w:keepLines w:val="0"/>
        <w:pageBreakBefore w:val="0"/>
        <w:widowControl w:val="0"/>
        <w:tabs>
          <w:tab w:val="left" w:pos="94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1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生成单一污染物修复范围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both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土壤中苯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和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硝基苯浓度值高于修复目标值的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区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域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作为土壤修复范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围</w:t>
      </w:r>
      <w:r>
        <w:rPr>
          <w:rFonts w:hint="default" w:ascii="Times New Roman" w:hAnsi="Times New Roman" w:cs="Times New Roman" w:eastAsiaTheme="minorEastAsia"/>
          <w:spacing w:val="7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按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照</w:t>
      </w:r>
      <w:r>
        <w:rPr>
          <w:rFonts w:hint="default" w:ascii="Times New Roman" w:hAnsi="Times New Roman" w:cs="Times New Roman" w:eastAsiaTheme="minorEastAsia"/>
          <w:spacing w:val="11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的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6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个步骤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操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作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在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第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4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步中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将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苯和硝基苯修复目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标值设</w:t>
      </w:r>
      <w:r>
        <w:rPr>
          <w:rFonts w:hint="default" w:ascii="Times New Roman" w:hAnsi="Times New Roman" w:cs="Times New Roman" w:eastAsiaTheme="minorEastAsia"/>
          <w:spacing w:val="-36"/>
          <w:w w:val="102"/>
          <w:sz w:val="28"/>
          <w:szCs w:val="28"/>
        </w:rPr>
        <w:t>为</w:t>
      </w:r>
      <w:r>
        <w:rPr>
          <w:rFonts w:hint="eastAsia" w:ascii="Times New Roman" w:hAnsi="Times New Roman" w:cs="Times New Roman" w:eastAsiaTheme="minorEastAsia"/>
          <w:spacing w:val="9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等值线最低等级”数值，建立名为</w:t>
      </w:r>
      <w:r>
        <w:rPr>
          <w:rFonts w:hint="eastAsia" w:ascii="Times New Roman" w:hAnsi="Times New Roman" w:cs="Times New Roman" w:eastAsiaTheme="minorEastAsia"/>
          <w:spacing w:val="9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修复范围”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的新图层，分别绘制其浓度等值线图，见图7—图8。</w:t>
      </w:r>
      <w:r>
        <w:rPr>
          <w:rFonts w:hint="default" w:ascii="Times New Roman" w:hAnsi="Times New Roman" w:cs="Times New Roman" w:eastAsiaTheme="minorEastAsia"/>
          <w:spacing w:val="8"/>
          <w:sz w:val="28"/>
          <w:szCs w:val="28"/>
        </w:rPr>
        <w:t>图中只有浓度值高于修复目标值的点位被圈入等值线图内</w:t>
      </w:r>
      <w:r>
        <w:rPr>
          <w:rFonts w:hint="default" w:ascii="Times New Roman" w:hAnsi="Times New Roman" w:cs="Times New Roman" w:eastAsiaTheme="minorEastAsia"/>
          <w:spacing w:val="8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8"/>
          <w:sz w:val="28"/>
          <w:szCs w:val="28"/>
        </w:rPr>
        <w:t>包裹于内部的区域即为土壤修复</w:t>
      </w:r>
      <w:r>
        <w:rPr>
          <w:rFonts w:hint="default" w:ascii="Times New Roman" w:hAnsi="Times New Roman" w:cs="Times New Roman" w:eastAsiaTheme="minorEastAsia"/>
          <w:w w:val="105"/>
          <w:sz w:val="28"/>
          <w:szCs w:val="28"/>
        </w:rPr>
        <w:t>范围</w:t>
      </w:r>
      <w:r>
        <w:rPr>
          <w:rFonts w:hint="default" w:ascii="Times New Roman" w:hAnsi="Times New Roman" w:cs="Times New Roman" w:eastAsiaTheme="minorEastAsia"/>
          <w:w w:val="105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tabs>
          <w:tab w:val="left" w:pos="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2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修复范围核查及验证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修复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范</w:t>
      </w:r>
      <w:r>
        <w:rPr>
          <w:rFonts w:hint="default" w:ascii="Times New Roman" w:hAnsi="Times New Roman" w:cs="Times New Roman" w:eastAsiaTheme="minorEastAsia"/>
          <w:spacing w:val="13"/>
          <w:w w:val="102"/>
          <w:sz w:val="28"/>
          <w:szCs w:val="28"/>
        </w:rPr>
        <w:t>围核查是为了核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查和校正Surfer软件中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克里格插值法”计算修复范围的偏差，确保边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界内点位的污染物浓度高于修复目标，边界线外、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最近点位的污染物浓度低于修复目标值。打开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土壤采样点位置”图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层，看到图7表层土壤苯修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复范围图圈入采样点位S30、S29和S33，苯质量比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分别为55．68mg/kg、33．6mg/kg和3．84mg/kg，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均高于表层土壤苯修复目标值3．2mg/kg;位于修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复范围边界线外、距离最近的采样点是S10和S32，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苯质量比为1．27mg/kg和1．08mg/kg，均低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于修复目标值。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48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同理</w:t>
      </w:r>
      <w:r>
        <w:rPr>
          <w:rFonts w:hint="default" w:ascii="Times New Roman" w:hAnsi="Times New Roman" w:cs="Times New Roman" w:eastAsiaTheme="minorEastAsia"/>
          <w:spacing w:val="-3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核查了表层土壤硝基苯和下层土壤苯的</w:t>
      </w:r>
      <w:r>
        <w:rPr>
          <w:rFonts w:hint="default" w:ascii="Times New Roman" w:hAnsi="Times New Roman" w:cs="Times New Roman" w:eastAsiaTheme="minorEastAsia"/>
          <w:w w:val="105"/>
          <w:sz w:val="28"/>
          <w:szCs w:val="28"/>
        </w:rPr>
        <w:t>修复范围</w:t>
      </w:r>
      <w:r>
        <w:rPr>
          <w:rFonts w:hint="default" w:ascii="Times New Roman" w:hAnsi="Times New Roman" w:cs="Times New Roman" w:eastAsiaTheme="minorEastAsia"/>
          <w:w w:val="105"/>
          <w:position w:val="1"/>
          <w:sz w:val="28"/>
          <w:szCs w:val="28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spacing w:val="11"/>
          <w:w w:val="92"/>
          <w:position w:val="1"/>
          <w:sz w:val="28"/>
          <w:szCs w:val="28"/>
        </w:rPr>
        <w:t>5</w:t>
      </w:r>
      <w:r>
        <w:rPr>
          <w:rFonts w:hint="default" w:ascii="Times New Roman" w:hAnsi="Times New Roman" w:cs="Times New Roman" w:eastAsiaTheme="minorEastAsia"/>
          <w:b/>
          <w:bCs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b/>
          <w:bCs/>
          <w:w w:val="92"/>
          <w:position w:val="1"/>
          <w:sz w:val="28"/>
          <w:szCs w:val="28"/>
        </w:rPr>
        <w:t>3</w:t>
      </w:r>
      <w:r>
        <w:rPr>
          <w:rFonts w:hint="default" w:ascii="Times New Roman" w:hAnsi="Times New Roman" w:cs="Times New Roman" w:eastAsiaTheme="minorEastAsia"/>
          <w:b/>
          <w:bCs/>
          <w:spacing w:val="3"/>
          <w:w w:val="102"/>
          <w:sz w:val="28"/>
          <w:szCs w:val="28"/>
        </w:rPr>
        <w:t>整合修复范围及面积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82" w:firstLineChars="200"/>
        <w:jc w:val="left"/>
        <w:textAlignment w:val="auto"/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在AutoCAD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中将表层土壤苯和硝基苯的修复范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围图叠加，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圆整交叉点曲线边界得到图9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中阴影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部分。在AutoCAD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中执行计算面积的命令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AＲE-A”，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计算图9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中阴影部分(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表层土壤修复区域)，面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积为46074m2。同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理，计算图10中阴影部分(下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层土壤修复区域)，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面积为16009m2。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4"/>
          <w:sz w:val="28"/>
          <w:szCs w:val="28"/>
        </w:rPr>
        <w:drawing>
          <wp:inline distT="0" distB="0" distL="0" distR="0">
            <wp:extent cx="6122670" cy="141986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810" cy="142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7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表层土壤中苯和硝基苯的修复范围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  <w:sectPr>
          <w:pgSz w:w="11910" w:h="16840"/>
          <w:pgMar w:top="1480" w:right="1020" w:bottom="1560" w:left="1020" w:header="1194" w:footer="1366" w:gutter="0"/>
          <w:cols w:space="425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42"/>
          <w:sz w:val="28"/>
          <w:szCs w:val="28"/>
        </w:rPr>
        <w:drawing>
          <wp:inline distT="0" distB="0" distL="0" distR="0">
            <wp:extent cx="2810510" cy="1353185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0720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8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下层土壤中苯的修复范围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33"/>
          <w:sz w:val="28"/>
          <w:szCs w:val="28"/>
        </w:rPr>
        <w:drawing>
          <wp:inline distT="0" distB="0" distL="0" distR="0">
            <wp:extent cx="2810510" cy="1090930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0839" cy="10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9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表层土壤修复区域的面积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position w:val="-34"/>
          <w:sz w:val="28"/>
          <w:szCs w:val="28"/>
        </w:rPr>
        <w:drawing>
          <wp:inline distT="0" distB="0" distL="0" distR="0">
            <wp:extent cx="2820035" cy="1121410"/>
            <wp:effectExtent l="0" t="0" r="18415" b="254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0500" cy="112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center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10</w:t>
      </w:r>
      <w:r>
        <w:rPr>
          <w:rFonts w:hint="default" w:ascii="Times New Roman" w:hAnsi="Times New Roman" w:cs="Times New Roman" w:eastAsiaTheme="minorEastAsia"/>
          <w:sz w:val="28"/>
          <w:szCs w:val="28"/>
        </w:rPr>
        <w:t>下层土壤修复区域的面积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52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06" w:firstLineChars="200"/>
        <w:jc w:val="left"/>
        <w:textAlignment w:val="auto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w w:val="90"/>
          <w:position w:val="1"/>
          <w:sz w:val="28"/>
          <w:szCs w:val="28"/>
        </w:rPr>
        <w:t>4</w:t>
      </w: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结语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560" w:firstLineChars="200"/>
        <w:jc w:val="left"/>
        <w:textAlignment w:val="auto"/>
        <w:rPr>
          <w:rFonts w:hint="default" w:ascii="Times New Roman" w:hAnsi="Times New Roman" w:cs="Times New Roman" w:eastAsiaTheme="minorEastAsia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sz w:val="28"/>
          <w:szCs w:val="28"/>
        </w:rPr>
        <w:t>采用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Surfer</w:t>
      </w:r>
      <w:r>
        <w:rPr>
          <w:rFonts w:hint="default" w:ascii="Times New Roman" w:hAnsi="Times New Roman" w:cs="Times New Roman" w:eastAsiaTheme="minorEastAsia"/>
          <w:spacing w:val="5"/>
          <w:sz w:val="28"/>
          <w:szCs w:val="28"/>
        </w:rPr>
        <w:t>软件与</w:t>
      </w:r>
      <w:r>
        <w:rPr>
          <w:rFonts w:hint="default" w:ascii="Times New Roman" w:hAnsi="Times New Roman" w:cs="Times New Roman" w:eastAsiaTheme="minorEastAsia"/>
          <w:position w:val="1"/>
          <w:sz w:val="28"/>
          <w:szCs w:val="28"/>
        </w:rPr>
        <w:t>AutoCAD</w:t>
      </w:r>
      <w:r>
        <w:rPr>
          <w:rFonts w:hint="default" w:ascii="Times New Roman" w:hAnsi="Times New Roman" w:cs="Times New Roman" w:eastAsiaTheme="minorEastAsia"/>
          <w:spacing w:val="7"/>
          <w:sz w:val="28"/>
          <w:szCs w:val="28"/>
        </w:rPr>
        <w:t>联用绘制等值线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图</w:t>
      </w:r>
      <w:r>
        <w:rPr>
          <w:rFonts w:hint="default" w:ascii="Times New Roman" w:hAnsi="Times New Roman" w:cs="Times New Roman" w:eastAsiaTheme="minorEastAsia"/>
          <w:spacing w:val="-3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-3"/>
          <w:sz w:val="28"/>
          <w:szCs w:val="28"/>
        </w:rPr>
        <w:t>并据此界定污染土壤修复范围的工作流程和操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作步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骤</w:t>
      </w:r>
      <w:r>
        <w:rPr>
          <w:rFonts w:hint="default" w:ascii="Times New Roman" w:hAnsi="Times New Roman" w:cs="Times New Roman" w:eastAsiaTheme="minorEastAsia"/>
          <w:spacing w:val="3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输出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的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图件适用于表现不同污染程度区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域</w:t>
      </w:r>
      <w:r>
        <w:rPr>
          <w:rFonts w:hint="default" w:ascii="Times New Roman" w:hAnsi="Times New Roman" w:cs="Times New Roman" w:eastAsiaTheme="minorEastAsia"/>
          <w:spacing w:val="15"/>
          <w:w w:val="102"/>
          <w:sz w:val="28"/>
          <w:szCs w:val="28"/>
        </w:rPr>
        <w:t>和风险高低区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域</w:t>
      </w:r>
      <w:r>
        <w:rPr>
          <w:rFonts w:hint="default" w:ascii="Times New Roman" w:hAnsi="Times New Roman" w:cs="Times New Roman" w:eastAsiaTheme="minorEastAsia"/>
          <w:spacing w:val="11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15"/>
          <w:w w:val="102"/>
          <w:sz w:val="28"/>
          <w:szCs w:val="28"/>
        </w:rPr>
        <w:t>调</w:t>
      </w:r>
      <w:r>
        <w:rPr>
          <w:rFonts w:hint="default" w:ascii="Times New Roman" w:hAnsi="Times New Roman" w:cs="Times New Roman" w:eastAsiaTheme="minorEastAsia"/>
          <w:spacing w:val="19"/>
          <w:w w:val="102"/>
          <w:sz w:val="28"/>
          <w:szCs w:val="28"/>
        </w:rPr>
        <w:t>用</w:t>
      </w:r>
      <w:r>
        <w:rPr>
          <w:rFonts w:hint="default" w:ascii="Times New Roman" w:hAnsi="Times New Roman" w:cs="Times New Roman" w:eastAsiaTheme="minorEastAsia"/>
          <w:w w:val="132"/>
          <w:position w:val="1"/>
          <w:sz w:val="28"/>
          <w:szCs w:val="28"/>
        </w:rPr>
        <w:t>*</w:t>
      </w:r>
      <w:r>
        <w:rPr>
          <w:rFonts w:hint="default" w:ascii="Times New Roman" w:hAnsi="Times New Roman" w:cs="Times New Roman" w:eastAsiaTheme="minorEastAsia"/>
          <w:w w:val="25"/>
          <w:position w:val="1"/>
          <w:sz w:val="28"/>
          <w:szCs w:val="28"/>
        </w:rPr>
        <w:t>．</w:t>
      </w:r>
      <w:r>
        <w:rPr>
          <w:rFonts w:hint="default" w:ascii="Times New Roman" w:hAnsi="Times New Roman" w:cs="Times New Roman" w:eastAsiaTheme="minorEastAsia"/>
          <w:w w:val="81"/>
          <w:position w:val="1"/>
          <w:sz w:val="28"/>
          <w:szCs w:val="28"/>
        </w:rPr>
        <w:t>g</w:t>
      </w:r>
      <w:r>
        <w:rPr>
          <w:rFonts w:hint="default" w:ascii="Times New Roman" w:hAnsi="Times New Roman" w:cs="Times New Roman" w:eastAsiaTheme="minorEastAsia"/>
          <w:spacing w:val="-1"/>
          <w:w w:val="102"/>
          <w:position w:val="1"/>
          <w:sz w:val="28"/>
          <w:szCs w:val="28"/>
        </w:rPr>
        <w:t>r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d</w:t>
      </w:r>
      <w:r>
        <w:rPr>
          <w:rFonts w:hint="default" w:ascii="Times New Roman" w:hAnsi="Times New Roman" w:cs="Times New Roman" w:eastAsiaTheme="minorEastAsia"/>
          <w:spacing w:val="15"/>
          <w:w w:val="102"/>
          <w:sz w:val="28"/>
          <w:szCs w:val="28"/>
        </w:rPr>
        <w:t>网格</w:t>
      </w:r>
      <w:r>
        <w:rPr>
          <w:rFonts w:hint="default" w:ascii="Times New Roman" w:hAnsi="Times New Roman" w:cs="Times New Roman" w:eastAsiaTheme="minorEastAsia"/>
          <w:spacing w:val="17"/>
          <w:w w:val="102"/>
          <w:sz w:val="28"/>
          <w:szCs w:val="28"/>
        </w:rPr>
        <w:t>化文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件</w:t>
      </w:r>
      <w:r>
        <w:rPr>
          <w:rFonts w:hint="default" w:ascii="Times New Roman" w:hAnsi="Times New Roman" w:cs="Times New Roman" w:eastAsiaTheme="minorEastAsia"/>
          <w:spacing w:val="-84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调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整等值线各属性以及对等值线间颜色的填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充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可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以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实时看到变化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效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果</w:t>
      </w:r>
      <w:r>
        <w:rPr>
          <w:rFonts w:hint="default" w:ascii="Times New Roman" w:hAnsi="Times New Roman" w:cs="Times New Roman" w:eastAsiaTheme="minorEastAsia"/>
          <w:spacing w:val="-94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9"/>
          <w:w w:val="102"/>
          <w:sz w:val="28"/>
          <w:szCs w:val="28"/>
        </w:rPr>
        <w:t>修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改方</w:t>
      </w:r>
      <w:r>
        <w:rPr>
          <w:rFonts w:hint="default" w:ascii="Times New Roman" w:hAnsi="Times New Roman" w:cs="Times New Roman" w:eastAsiaTheme="minorEastAsia"/>
          <w:spacing w:val="4"/>
          <w:w w:val="102"/>
          <w:sz w:val="28"/>
          <w:szCs w:val="28"/>
        </w:rPr>
        <w:t>便</w:t>
      </w:r>
      <w:r>
        <w:rPr>
          <w:rFonts w:hint="default" w:ascii="Times New Roman" w:hAnsi="Times New Roman" w:cs="Times New Roman" w:eastAsiaTheme="minorEastAsia"/>
          <w:spacing w:val="9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w w:val="77"/>
          <w:position w:val="1"/>
          <w:sz w:val="28"/>
          <w:szCs w:val="28"/>
        </w:rPr>
        <w:t>S</w:t>
      </w:r>
      <w:r>
        <w:rPr>
          <w:rFonts w:hint="default" w:ascii="Times New Roman" w:hAnsi="Times New Roman" w:cs="Times New Roman" w:eastAsiaTheme="minorEastAsia"/>
          <w:w w:val="92"/>
          <w:position w:val="1"/>
          <w:sz w:val="28"/>
          <w:szCs w:val="28"/>
        </w:rPr>
        <w:t>u</w:t>
      </w:r>
      <w:r>
        <w:rPr>
          <w:rFonts w:hint="default" w:ascii="Times New Roman" w:hAnsi="Times New Roman" w:cs="Times New Roman" w:eastAsiaTheme="minorEastAsia"/>
          <w:spacing w:val="-1"/>
          <w:w w:val="102"/>
          <w:position w:val="1"/>
          <w:sz w:val="28"/>
          <w:szCs w:val="28"/>
        </w:rPr>
        <w:t>rf</w:t>
      </w:r>
      <w:r>
        <w:rPr>
          <w:rFonts w:hint="default" w:ascii="Times New Roman" w:hAnsi="Times New Roman" w:cs="Times New Roman" w:eastAsiaTheme="minorEastAsia"/>
          <w:w w:val="81"/>
          <w:position w:val="1"/>
          <w:sz w:val="28"/>
          <w:szCs w:val="28"/>
        </w:rPr>
        <w:t>e</w:t>
      </w:r>
      <w:r>
        <w:rPr>
          <w:rFonts w:hint="default" w:ascii="Times New Roman" w:hAnsi="Times New Roman" w:cs="Times New Roman" w:eastAsiaTheme="minorEastAsia"/>
          <w:w w:val="102"/>
          <w:position w:val="1"/>
          <w:sz w:val="28"/>
          <w:szCs w:val="28"/>
        </w:rPr>
        <w:t>r</w:t>
      </w:r>
      <w:r>
        <w:rPr>
          <w:rFonts w:hint="default" w:ascii="Times New Roman" w:hAnsi="Times New Roman" w:cs="Times New Roman" w:eastAsiaTheme="minorEastAsia"/>
          <w:spacing w:val="11"/>
          <w:w w:val="102"/>
          <w:sz w:val="28"/>
          <w:szCs w:val="28"/>
        </w:rPr>
        <w:t>软件使用</w:t>
      </w:r>
      <w:r>
        <w:rPr>
          <w:rFonts w:hint="default" w:ascii="Times New Roman" w:hAnsi="Times New Roman" w:cs="Times New Roman" w:eastAsiaTheme="minorEastAsia"/>
          <w:w w:val="102"/>
          <w:sz w:val="28"/>
          <w:szCs w:val="28"/>
        </w:rPr>
        <w:t>不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同插值法生成网格化数</w:t>
      </w:r>
      <w:r>
        <w:rPr>
          <w:rFonts w:hint="default" w:ascii="Times New Roman" w:hAnsi="Times New Roman" w:cs="Times New Roman" w:eastAsiaTheme="minorEastAsia"/>
          <w:spacing w:val="5"/>
          <w:w w:val="102"/>
          <w:sz w:val="28"/>
          <w:szCs w:val="28"/>
        </w:rPr>
        <w:t>据</w:t>
      </w:r>
      <w:r>
        <w:rPr>
          <w:rFonts w:hint="default" w:ascii="Times New Roman" w:hAnsi="Times New Roman" w:cs="Times New Roman" w:eastAsiaTheme="minorEastAsia"/>
          <w:spacing w:val="-101"/>
          <w:w w:val="102"/>
          <w:position w:val="1"/>
          <w:sz w:val="28"/>
          <w:szCs w:val="28"/>
        </w:rPr>
        <w:t>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得到的等值线图形也不同</w:t>
      </w:r>
      <w:r>
        <w:rPr>
          <w:rFonts w:hint="default" w:ascii="Times New Roman" w:hAnsi="Times New Roman" w:cs="Times New Roman" w:eastAsiaTheme="minorEastAsia"/>
          <w:spacing w:val="-32"/>
          <w:w w:val="102"/>
          <w:position w:val="1"/>
          <w:sz w:val="28"/>
          <w:szCs w:val="28"/>
        </w:rPr>
        <w:t>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当数据</w:t>
      </w:r>
      <w:r>
        <w:rPr>
          <w:rFonts w:hint="default" w:ascii="Times New Roman" w:hAnsi="Times New Roman" w:cs="Times New Roman" w:eastAsiaTheme="minorEastAsia"/>
          <w:spacing w:val="7"/>
          <w:w w:val="102"/>
          <w:sz w:val="28"/>
          <w:szCs w:val="28"/>
        </w:rPr>
        <w:t>的</w:t>
      </w:r>
      <w:r>
        <w:rPr>
          <w:rFonts w:hint="default" w:ascii="Times New Roman" w:hAnsi="Times New Roman" w:cs="Times New Roman" w:eastAsiaTheme="minorEastAsia"/>
          <w:spacing w:val="13"/>
          <w:w w:val="102"/>
          <w:sz w:val="28"/>
          <w:szCs w:val="28"/>
        </w:rPr>
        <w:t>空间连续性变化的属性非常不规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则时，</w:t>
      </w:r>
      <w:r>
        <w:rPr>
          <w:rFonts w:hint="eastAsia" w:ascii="Times New Roman" w:hAnsi="Times New Roman" w:cs="Times New Roman" w:eastAsiaTheme="minorEastAsia"/>
          <w:spacing w:val="3"/>
          <w:w w:val="102"/>
          <w:sz w:val="28"/>
          <w:szCs w:val="28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克里格插值法”能较好地表示隐含在数据中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的趋势，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尤其适用于污染场地调查时采样点分散、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无规律情形下的数据处理。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收集的离散点越多，等</w:t>
      </w:r>
      <w:r>
        <w:rPr>
          <w:rFonts w:hint="default" w:ascii="Times New Roman" w:hAnsi="Times New Roman" w:cs="Times New Roman" w:eastAsiaTheme="minorEastAsia"/>
          <w:spacing w:val="3"/>
          <w:w w:val="102"/>
          <w:sz w:val="28"/>
          <w:szCs w:val="28"/>
        </w:rPr>
        <w:t>值线图越准确和精确。</w:t>
      </w:r>
    </w:p>
    <w:sectPr>
      <w:type w:val="continuous"/>
      <w:pgSz w:w="11910" w:h="16840"/>
      <w:pgMar w:top="1480" w:right="1020" w:bottom="1560" w:left="1020" w:header="720" w:footer="720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华光楷体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书宋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64" o:spid="_x0000_s2064" o:spt="202" type="#_x0000_t202" style="position:absolute;left:0pt;margin-left:491.8pt;margin-top:762.5pt;height:10.85pt;width:37.75pt;mso-position-horizontal-relative:page;mso-position-vertical-relative:page;z-index:-8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198" w:lineRule="exact"/>
                  <w:ind w:left="20" w:right="0" w:firstLine="0"/>
                  <w:jc w:val="left"/>
                  <w:rPr>
                    <w:rFonts w:ascii="Arial Unicode MS" w:hAnsi="Arial Unicode MS" w:eastAsia="Arial Unicode MS" w:cs="Arial Unicode MS"/>
                    <w:sz w:val="17"/>
                    <w:szCs w:val="17"/>
                  </w:rPr>
                </w:pPr>
                <w:r>
                  <w:rPr>
                    <w:rFonts w:ascii="Arial Unicode MS" w:hAnsi="Arial Unicode MS" w:eastAsia="Arial Unicode MS" w:cs="Arial Unicode MS"/>
                    <w:w w:val="103"/>
                    <w:sz w:val="17"/>
                    <w:szCs w:val="17"/>
                  </w:rPr>
                  <w:t>—</w:t>
                </w:r>
                <w:r>
                  <w:fldChar w:fldCharType="begin"/>
                </w:r>
                <w:r>
                  <w:rPr>
                    <w:rFonts w:ascii="Arial Unicode MS" w:hAnsi="Arial Unicode MS" w:eastAsia="Arial Unicode MS" w:cs="Arial Unicode MS"/>
                    <w:w w:val="93"/>
                    <w:sz w:val="17"/>
                    <w:szCs w:val="17"/>
                  </w:rP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  <w:r>
                  <w:rPr>
                    <w:rFonts w:ascii="Arial Unicode MS" w:hAnsi="Arial Unicode MS" w:eastAsia="Arial Unicode MS" w:cs="Arial Unicode MS"/>
                    <w:w w:val="103"/>
                    <w:sz w:val="17"/>
                    <w:szCs w:val="17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63" o:spid="_x0000_s2063" o:spt="202" type="#_x0000_t202" style="position:absolute;left:0pt;margin-left:65.25pt;margin-top:762.5pt;height:10.85pt;width:37.75pt;mso-position-horizontal-relative:page;mso-position-vertical-relative:page;z-index:-9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198" w:lineRule="exact"/>
                  <w:ind w:left="20" w:right="0" w:firstLine="0"/>
                  <w:jc w:val="left"/>
                  <w:rPr>
                    <w:rFonts w:ascii="Arial Unicode MS" w:hAnsi="Arial Unicode MS" w:eastAsia="Arial Unicode MS" w:cs="Arial Unicode MS"/>
                    <w:sz w:val="17"/>
                    <w:szCs w:val="17"/>
                  </w:rPr>
                </w:pPr>
                <w:r>
                  <w:rPr>
                    <w:rFonts w:ascii="Arial Unicode MS" w:hAnsi="Arial Unicode MS" w:eastAsia="Arial Unicode MS" w:cs="Arial Unicode MS"/>
                    <w:w w:val="103"/>
                    <w:sz w:val="17"/>
                    <w:szCs w:val="17"/>
                  </w:rPr>
                  <w:t>—</w:t>
                </w:r>
                <w:r>
                  <w:fldChar w:fldCharType="begin"/>
                </w:r>
                <w:r>
                  <w:rPr>
                    <w:rFonts w:ascii="Arial Unicode MS" w:hAnsi="Arial Unicode MS" w:eastAsia="Arial Unicode MS" w:cs="Arial Unicode MS"/>
                    <w:w w:val="93"/>
                    <w:sz w:val="17"/>
                    <w:szCs w:val="17"/>
                  </w:rPr>
                  <w:instrText xml:space="preserve"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  <w:r>
                  <w:rPr>
                    <w:rFonts w:ascii="Arial Unicode MS" w:hAnsi="Arial Unicode MS" w:eastAsia="Arial Unicode MS" w:cs="Arial Unicode MS"/>
                    <w:w w:val="103"/>
                    <w:sz w:val="17"/>
                    <w:szCs w:val="17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pict>
        <v:shape id="_x0000_s2070" o:spid="_x0000_s2070" o:spt="202" type="#_x0000_t202" style="position:absolute;left:0pt;margin-left:159.85pt;margin-top:58.7pt;height:10.85pt;width:275.35pt;mso-position-horizontal-relative:page;mso-position-vertical-relative:page;z-index:-8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/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2"/>
  </w:compat>
  <w:rsids>
    <w:rsidRoot w:val="00000000"/>
    <w:rsid w:val="104D09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16"/>
    </w:pPr>
    <w:rPr>
      <w:rFonts w:ascii="Arial Unicode MS" w:hAnsi="Arial Unicode MS" w:eastAsia="Arial Unicode MS"/>
      <w:sz w:val="20"/>
      <w:szCs w:val="20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64"/>
    <customShpInfo spid="_x0000_s2063"/>
    <customShpInfo spid="_x0000_s207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ScaleCrop>false</ScaleCrop>
  <LinksUpToDate>false</LinksUpToDate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2021-06-12T10:14:00Z</dcterms:created>
  <dc:creator>iData</dc:creator>
  <cp:keywords>none</cp:keywords>
  <cp:lastModifiedBy>tufei</cp:lastModifiedBy>
  <dcterms:modified xsi:type="dcterms:W3CDTF">2021-06-12T02:24:26Z</dcterms:modified>
  <dc:subject>none</dc:subject>
  <dc:title>none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2021-06-12T00:00:00Z</vt:filetime>
  </property>
  <property fmtid="{D5CDD505-2E9C-101B-9397-08002B2CF9AE}" pid="3" name="Creator">
    <vt:lpwstr>none</vt:lpwstr>
  </property>
  <property fmtid="{D5CDD505-2E9C-101B-9397-08002B2CF9AE}" pid="4" name="LastSaved">
    <vt:filetime>2021-06-12T00:00:00Z</vt:filetime>
  </property>
  <property fmtid="{D5CDD505-2E9C-101B-9397-08002B2CF9AE}" pid="5" name="KSOProductBuildVer">
    <vt:lpwstr>2052-11.8.2.8411</vt:lpwstr>
  </property>
</Properties>
</file>